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spacing w:line="540" w:lineRule="atLeast"/>
        <w:ind/>
        <w:jc w:val="center"/>
        <w:rPr>
          <w:b w:val="1"/>
          <w:color w:val="333333"/>
        </w:rPr>
      </w:pPr>
      <w:r>
        <w:rPr>
          <w:b w:val="1"/>
          <w:color w:val="333333"/>
        </w:rPr>
        <w:t>Трудовые отношения: что нужно знать</w:t>
      </w:r>
    </w:p>
    <w:p w14:paraId="08000000">
      <w:pPr>
        <w:widowControl w:val="1"/>
        <w:spacing w:line="240" w:lineRule="exact"/>
        <w:ind/>
        <w:jc w:val="center"/>
        <w:rPr>
          <w:b w:val="1"/>
          <w:color w:val="333333"/>
        </w:rPr>
      </w:pPr>
    </w:p>
    <w:p w14:paraId="09000000">
      <w:pPr>
        <w:widowControl w:val="1"/>
        <w:ind w:firstLine="709"/>
        <w:jc w:val="both"/>
        <w:rPr>
          <w:color w:themeColor="text1" w:val="000000"/>
        </w:rPr>
      </w:pPr>
      <w:r>
        <w:rPr>
          <w:color w:themeColor="text1" w:val="000000"/>
        </w:rPr>
        <w:t xml:space="preserve">Под нелегальной (теневой) занятостью понимается работа без </w:t>
      </w:r>
      <w:r>
        <w:rPr>
          <w:color w:themeColor="text1" w:val="000000"/>
        </w:rPr>
        <w:t xml:space="preserve">заключения </w:t>
      </w:r>
      <w:r>
        <w:rPr>
          <w:color w:themeColor="text1" w:val="000000"/>
        </w:rPr>
        <w:t>официального трудового договора, с «серой» зар</w:t>
      </w:r>
      <w:r>
        <w:rPr>
          <w:color w:themeColor="text1" w:val="000000"/>
        </w:rPr>
        <w:t xml:space="preserve">аботной </w:t>
      </w:r>
      <w:r>
        <w:rPr>
          <w:color w:themeColor="text1" w:val="000000"/>
        </w:rPr>
        <w:t>платой или подменой трудового договора гражданско-правовым.</w:t>
      </w:r>
    </w:p>
    <w:p w14:paraId="0A000000">
      <w:pPr>
        <w:widowControl w:val="1"/>
        <w:ind/>
        <w:jc w:val="center"/>
        <w:rPr>
          <w:color w:themeColor="text1" w:val="000000"/>
          <w:u w:val="single"/>
        </w:rPr>
      </w:pPr>
      <w:r>
        <w:rPr>
          <w:color w:themeColor="text1" w:val="000000"/>
          <w:u w:val="single"/>
        </w:rPr>
        <w:t>Последствия неофициального трудоустройства:</w:t>
      </w:r>
    </w:p>
    <w:p w14:paraId="0B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Отсутствие </w:t>
      </w:r>
      <w:r>
        <w:rPr>
          <w:rFonts w:ascii="Times New Roman" w:hAnsi="Times New Roman"/>
          <w:color w:themeColor="text1" w:val="000000"/>
          <w:sz w:val="28"/>
        </w:rPr>
        <w:t xml:space="preserve">у работника </w:t>
      </w:r>
      <w:r>
        <w:rPr>
          <w:rFonts w:ascii="Times New Roman" w:hAnsi="Times New Roman"/>
          <w:color w:themeColor="text1" w:val="000000"/>
          <w:sz w:val="28"/>
        </w:rPr>
        <w:t>социальных гарантий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(нет больничных, отпуска, гарантий, связанных с обучением и рождением ребенка, увольнением);</w:t>
      </w:r>
    </w:p>
    <w:p w14:paraId="0C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Потеря пенсионного стажа;</w:t>
      </w:r>
    </w:p>
    <w:p w14:paraId="0D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Правовая незащищенность при невыплате заработной платы (могут возникнуть сложности с доказыванием наличия трудовых отношений)</w:t>
      </w:r>
    </w:p>
    <w:p w14:paraId="0E000000">
      <w:pPr>
        <w:widowControl w:val="1"/>
        <w:ind/>
        <w:jc w:val="center"/>
        <w:rPr>
          <w:color w:themeColor="text1" w:val="000000"/>
          <w:u w:val="single"/>
        </w:rPr>
      </w:pPr>
      <w:r>
        <w:rPr>
          <w:color w:themeColor="text1" w:val="000000"/>
          <w:u w:val="single"/>
        </w:rPr>
        <w:t>Что нужно знать:</w:t>
      </w:r>
    </w:p>
    <w:p w14:paraId="0F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Трудовой договор заключается в письменной форме в двух экземплярах, каждый из которых подписывается сторонами, один экземпляр передается работнику, другой хранится у работодателя;</w:t>
      </w:r>
    </w:p>
    <w:p w14:paraId="10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Обязательными для включения в трудовой договор являются условия о месте работы, трудовых обязанностях, оплате труда, режиме рабочего времени и других условиях, предусмотренных ст. 57 Трудового кодекса Российской Федерации;</w:t>
      </w:r>
    </w:p>
    <w:p w14:paraId="11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Все дальнейшие изменения должны фиксироваться только через дополнительные соглашения к трудовому договору.</w:t>
      </w:r>
    </w:p>
    <w:p w14:paraId="12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При фактическом допущении работника к работе работодатель обязан оформить с ним трудовой договор в письменной форме не позднее трех рабочих дней.</w:t>
      </w:r>
    </w:p>
    <w:p w14:paraId="13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При уклонении от оформления трудового договора, а также заключении его в нарушение установленных требований работодатель несет административную ответственность по ч. 4 ст. 5.27 КоАП РФ.</w:t>
      </w:r>
    </w:p>
    <w:p w14:paraId="14000000">
      <w:pPr>
        <w:widowControl w:val="1"/>
        <w:ind w:firstLine="709"/>
        <w:jc w:val="both"/>
        <w:rPr>
          <w:color w:themeColor="text1" w:val="000000"/>
        </w:rPr>
      </w:pPr>
      <w:r>
        <w:rPr>
          <w:color w:themeColor="text1" w:val="000000"/>
        </w:rPr>
        <w:t xml:space="preserve">Трудовой договор – это не просто документ. Он является  гарантией защиты и </w:t>
      </w:r>
      <w:r>
        <w:rPr>
          <w:color w:themeColor="text1" w:val="000000"/>
        </w:rPr>
        <w:t>соблюдения</w:t>
      </w:r>
      <w:r>
        <w:rPr>
          <w:color w:themeColor="text1" w:val="000000"/>
        </w:rPr>
        <w:t xml:space="preserve"> трудовых прав</w:t>
      </w:r>
      <w:r>
        <w:rPr>
          <w:color w:themeColor="text1" w:val="000000"/>
        </w:rPr>
        <w:t xml:space="preserve"> работника. Не следует</w:t>
      </w:r>
      <w:r>
        <w:rPr>
          <w:color w:themeColor="text1" w:val="000000"/>
        </w:rPr>
        <w:t xml:space="preserve"> соглашаться на нелегальную занятость. В случае наруше</w:t>
      </w:r>
      <w:r>
        <w:rPr>
          <w:color w:themeColor="text1" w:val="000000"/>
        </w:rPr>
        <w:t>ний – необходимо</w:t>
      </w:r>
      <w:r>
        <w:rPr>
          <w:color w:themeColor="text1" w:val="000000"/>
        </w:rPr>
        <w:t xml:space="preserve"> обр</w:t>
      </w:r>
      <w:r>
        <w:rPr>
          <w:color w:themeColor="text1" w:val="000000"/>
        </w:rPr>
        <w:t>ащаться</w:t>
      </w:r>
      <w:r>
        <w:rPr>
          <w:color w:themeColor="text1" w:val="000000"/>
        </w:rPr>
        <w:t xml:space="preserve"> в Государственную инспекцию труда.</w:t>
      </w:r>
    </w:p>
    <w:p w14:paraId="15000000">
      <w:pPr>
        <w:widowControl w:val="1"/>
        <w:ind/>
        <w:jc w:val="both"/>
      </w:pPr>
    </w:p>
    <w:p w14:paraId="16000000">
      <w:pPr>
        <w:widowControl w:val="1"/>
        <w:ind/>
        <w:jc w:val="both"/>
      </w:pPr>
      <w:r>
        <w:t xml:space="preserve">Пресс-служба </w:t>
      </w:r>
    </w:p>
    <w:p w14:paraId="17000000">
      <w:pPr>
        <w:widowControl w:val="1"/>
        <w:ind/>
        <w:jc w:val="both"/>
      </w:pPr>
      <w:r>
        <w:t>Прокуратуры г. Нижневартовска</w:t>
      </w:r>
    </w:p>
    <w:p w14:paraId="18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9000000">
      <w:pPr>
        <w:widowControl w:val="1"/>
        <w:spacing w:line="240" w:lineRule="exact"/>
        <w:ind/>
        <w:jc w:val="both"/>
        <w:rPr>
          <w:b w:val="1"/>
        </w:rPr>
      </w:pPr>
    </w:p>
    <w:p w14:paraId="1A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B000000">
      <w:pPr>
        <w:widowControl w:val="1"/>
        <w:spacing w:line="240" w:lineRule="exact"/>
        <w:ind/>
        <w:jc w:val="both"/>
        <w:rPr>
          <w:b w:val="1"/>
        </w:rPr>
      </w:pPr>
    </w:p>
    <w:p w14:paraId="1C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  <w:bookmarkStart w:id="1" w:name="_GoBack"/>
      <w:bookmarkEnd w:id="1"/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360" w:left="72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imes New Roman" w:hAnsi="Times New Roman"/>
      <w:sz w:val="28"/>
    </w:rPr>
  </w:style>
  <w:style w:default="1" w:styleId="Style_3_ch" w:type="character">
    <w:name w:val="Normal"/>
    <w:link w:val="Style_3"/>
    <w:rPr>
      <w:rFonts w:ascii="Times New Roman" w:hAnsi="Times New Roman"/>
      <w:sz w:val="28"/>
    </w:rPr>
  </w:style>
  <w:style w:styleId="Style_4" w:type="paragraph">
    <w:name w:val="toc 2"/>
    <w:next w:val="Style_3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Обычный1"/>
    <w:link w:val="Style_6_ch"/>
    <w:rPr>
      <w:rFonts w:ascii="Times New Roman" w:hAnsi="Times New Roman"/>
      <w:sz w:val="28"/>
    </w:rPr>
  </w:style>
  <w:style w:styleId="Style_6_ch" w:type="character">
    <w:name w:val="Обычный1"/>
    <w:link w:val="Style_6"/>
    <w:rPr>
      <w:rFonts w:ascii="Times New Roman" w:hAnsi="Times New Roman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Гиперссылка1"/>
    <w:link w:val="Style_11_ch"/>
    <w:rPr>
      <w:color w:val="0000FF"/>
      <w:u w:val="single"/>
    </w:rPr>
  </w:style>
  <w:style w:styleId="Style_11_ch" w:type="character">
    <w:name w:val="Гиперссылка1"/>
    <w:link w:val="Style_11"/>
    <w:rPr>
      <w:color w:val="0000FF"/>
      <w:u w:val="single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toc 3"/>
    <w:next w:val="Style_3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Основной текст2"/>
    <w:basedOn w:val="Style_3"/>
    <w:link w:val="Style_14_ch"/>
    <w:pPr>
      <w:widowControl w:val="1"/>
      <w:spacing w:line="245" w:lineRule="exact"/>
      <w:ind/>
    </w:pPr>
    <w:rPr>
      <w:rFonts w:ascii="Sylfaen" w:hAnsi="Sylfaen"/>
      <w:sz w:val="25"/>
    </w:rPr>
  </w:style>
  <w:style w:styleId="Style_14_ch" w:type="character">
    <w:name w:val="Основной текст2"/>
    <w:basedOn w:val="Style_3_ch"/>
    <w:link w:val="Style_14"/>
    <w:rPr>
      <w:rFonts w:ascii="Sylfaen" w:hAnsi="Sylfaen"/>
      <w:sz w:val="25"/>
    </w:rPr>
  </w:style>
  <w:style w:styleId="Style_2" w:type="paragraph">
    <w:name w:val="List Paragraph"/>
    <w:basedOn w:val="Style_3"/>
    <w:link w:val="Style_2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2_ch" w:type="character">
    <w:name w:val="List Paragraph"/>
    <w:basedOn w:val="Style_3_ch"/>
    <w:link w:val="Style_2"/>
    <w:rPr>
      <w:rFonts w:asciiTheme="minorAscii" w:hAnsiTheme="minorHAnsi"/>
      <w:sz w:val="22"/>
    </w:rPr>
  </w:style>
  <w:style w:styleId="Style_15" w:type="paragraph">
    <w:name w:val="heading 5"/>
    <w:next w:val="Style_3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3"/>
    <w:link w:val="Style_16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6_ch" w:type="character">
    <w:name w:val="heading 1"/>
    <w:basedOn w:val="Style_3_ch"/>
    <w:link w:val="Style_16"/>
    <w:rPr>
      <w:b w:val="1"/>
      <w:sz w:val="4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No Spacing"/>
    <w:link w:val="Style_21_ch"/>
    <w:rPr>
      <w:sz w:val="22"/>
    </w:rPr>
  </w:style>
  <w:style w:styleId="Style_21_ch" w:type="character">
    <w:name w:val="No Spacing"/>
    <w:link w:val="Style_21"/>
    <w:rPr>
      <w:sz w:val="22"/>
    </w:rPr>
  </w:style>
  <w:style w:styleId="Style_22" w:type="paragraph">
    <w:name w:val="toc 9"/>
    <w:next w:val="Style_3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feeds-page__navigation_tooltip"/>
    <w:basedOn w:val="Style_12"/>
    <w:link w:val="Style_23_ch"/>
  </w:style>
  <w:style w:styleId="Style_23_ch" w:type="character">
    <w:name w:val="feeds-page__navigation_tooltip"/>
    <w:basedOn w:val="Style_12_ch"/>
    <w:link w:val="Style_23"/>
  </w:style>
  <w:style w:styleId="Style_24" w:type="paragraph">
    <w:name w:val="Normal (Web)"/>
    <w:basedOn w:val="Style_3"/>
    <w:link w:val="Style_24_ch"/>
    <w:pPr>
      <w:widowControl w:val="1"/>
      <w:spacing w:afterAutospacing="on" w:beforeAutospacing="on"/>
      <w:ind/>
    </w:pPr>
    <w:rPr>
      <w:sz w:val="24"/>
    </w:rPr>
  </w:style>
  <w:style w:styleId="Style_24_ch" w:type="character">
    <w:name w:val="Normal (Web)"/>
    <w:basedOn w:val="Style_3_ch"/>
    <w:link w:val="Style_24"/>
    <w:rPr>
      <w:sz w:val="24"/>
    </w:rPr>
  </w:style>
  <w:style w:styleId="Style_25" w:type="paragraph">
    <w:name w:val="toc 8"/>
    <w:next w:val="Style_3"/>
    <w:link w:val="Style_25_ch"/>
    <w:uiPriority w:val="39"/>
    <w:pPr>
      <w:widowControl w:val="1"/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Body Text 3"/>
    <w:basedOn w:val="Style_3"/>
    <w:link w:val="Style_26_ch"/>
    <w:pPr>
      <w:widowControl w:val="1"/>
      <w:spacing w:after="120"/>
      <w:ind/>
    </w:pPr>
    <w:rPr>
      <w:sz w:val="16"/>
    </w:rPr>
  </w:style>
  <w:style w:styleId="Style_26_ch" w:type="character">
    <w:name w:val="Body Text 3"/>
    <w:basedOn w:val="Style_3_ch"/>
    <w:link w:val="Style_26"/>
    <w:rPr>
      <w:sz w:val="16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Balloon Text"/>
    <w:basedOn w:val="Style_3"/>
    <w:link w:val="Style_28_ch"/>
    <w:rPr>
      <w:rFonts w:ascii="Segoe UI" w:hAnsi="Segoe UI"/>
      <w:sz w:val="18"/>
    </w:rPr>
  </w:style>
  <w:style w:styleId="Style_28_ch" w:type="character">
    <w:name w:val="Balloon Text"/>
    <w:basedOn w:val="Style_3_ch"/>
    <w:link w:val="Style_28"/>
    <w:rPr>
      <w:rFonts w:ascii="Segoe UI" w:hAnsi="Segoe UI"/>
      <w:sz w:val="18"/>
    </w:rPr>
  </w:style>
  <w:style w:styleId="Style_29" w:type="paragraph">
    <w:name w:val="toc 5"/>
    <w:next w:val="Style_3"/>
    <w:link w:val="Style_29_ch"/>
    <w:uiPriority w:val="39"/>
    <w:pPr>
      <w:widowControl w:val="1"/>
      <w:ind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3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3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3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3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Body Text Indent"/>
    <w:basedOn w:val="Style_3"/>
    <w:link w:val="Style_34_ch"/>
    <w:pPr>
      <w:widowControl w:val="1"/>
      <w:ind w:firstLine="709"/>
      <w:jc w:val="both"/>
    </w:pPr>
  </w:style>
  <w:style w:styleId="Style_34_ch" w:type="character">
    <w:name w:val="Body Text Indent"/>
    <w:basedOn w:val="Style_3_ch"/>
    <w:link w:val="Style_34"/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2026-10-29T05:33:45Z</dcterms:modified>
</cp:coreProperties>
</file>